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C4B" w:rsidRDefault="00956C4B" w:rsidP="00956C4B">
      <w:pPr>
        <w:widowControl w:val="0"/>
        <w:autoSpaceDE w:val="0"/>
        <w:autoSpaceDN w:val="0"/>
        <w:adjustRightInd w:val="0"/>
        <w:spacing w:before="0" w:after="0"/>
        <w:ind w:right="-25"/>
        <w:jc w:val="center"/>
        <w:rPr>
          <w:rFonts w:eastAsia="Times New Roman"/>
          <w:b/>
          <w:bCs/>
          <w:iCs/>
          <w:kern w:val="28"/>
          <w:sz w:val="28"/>
          <w:szCs w:val="28"/>
          <w:lang w:eastAsia="en-GB"/>
        </w:rPr>
      </w:pPr>
      <w:bookmarkStart w:id="0" w:name="_GoBack"/>
      <w:bookmarkEnd w:id="0"/>
      <w:r w:rsidRPr="00956C4B">
        <w:rPr>
          <w:rFonts w:eastAsia="Times New Roman"/>
          <w:b/>
          <w:bCs/>
          <w:iCs/>
          <w:kern w:val="28"/>
          <w:sz w:val="28"/>
          <w:szCs w:val="28"/>
          <w:lang w:eastAsia="en-GB"/>
        </w:rPr>
        <w:t>INFORMAŢII PRIVIND GHIŞEUL UNIC</w:t>
      </w:r>
    </w:p>
    <w:p w:rsidR="00956C4B" w:rsidRPr="00956C4B" w:rsidRDefault="00956C4B" w:rsidP="00956C4B">
      <w:pPr>
        <w:widowControl w:val="0"/>
        <w:autoSpaceDE w:val="0"/>
        <w:autoSpaceDN w:val="0"/>
        <w:adjustRightInd w:val="0"/>
        <w:spacing w:before="0" w:after="0"/>
        <w:ind w:right="-25"/>
        <w:jc w:val="center"/>
        <w:rPr>
          <w:rFonts w:eastAsia="Times New Roman"/>
          <w:b/>
          <w:bCs/>
          <w:iCs/>
          <w:kern w:val="28"/>
          <w:sz w:val="28"/>
          <w:szCs w:val="28"/>
          <w:lang w:eastAsia="en-GB"/>
        </w:rPr>
      </w:pPr>
    </w:p>
    <w:p w:rsid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 xml:space="preserve">Având în vedere necesitatea de a creşte accesibilitatea surselor de finanţare, de a economisi timp pentru îndeplinirea cerinţelor administrative, precum şi de a asigura sinergii şi complementarităţi între diverse instrumente de finanţare, în scopul de a sprijini dezvoltarea şi diversificarea mediului de afaceri, în particular a IMM-urilor, se va asigura un </w:t>
      </w:r>
      <w:r w:rsidRPr="00956C4B">
        <w:rPr>
          <w:rFonts w:eastAsia="Times New Roman"/>
          <w:b/>
          <w:bCs/>
          <w:iCs/>
          <w:kern w:val="28"/>
          <w:szCs w:val="24"/>
          <w:lang w:eastAsia="en-GB"/>
        </w:rPr>
        <w:t>cadru integrat și simplificat pentru obţinerea de informaţii comprehensive și accesibile privind posibilitățile de finanțare din FESI și alte fonduri,</w:t>
      </w:r>
      <w:r w:rsidRPr="00956C4B">
        <w:rPr>
          <w:rFonts w:eastAsia="Times New Roman"/>
          <w:bCs/>
          <w:iCs/>
          <w:kern w:val="28"/>
          <w:szCs w:val="24"/>
          <w:lang w:eastAsia="en-GB"/>
        </w:rPr>
        <w:t xml:space="preserve"> precum și consiliere în acest sens, prin mecanismul de “ghişeu unic” pentru IMM-uri.</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Ghișeul unic se va implementa prin Centrul de Informare privind FESI și rețeaua sa teritorială, format din 41 de puncte de informare (câte unul la nivelul fiecarui județ), gestionate de MFE și care formează împreună Rețeaua de informare. Va fi acordat sprijin inclusiv pentru: remunerarea personalului din cadrul centrului și rețelei teritoriale, achiziționarea materialelor documentare, derularea activităților de comunicare pentru promovarea centrului și punctelor teritoriale, etc. Finanţarea funcţionării punctelor de informare/”ghiseu unic” se va asigura prin POAT 2014-2020.</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Aceasta Rețea va constitui un suport important pentru diseminarea informatiilor referitoare la FESI, cât mai eficientă în rândul publicului larg și a segmentelor de public țintă, la nivel național. Potențialii beneficiari vor fi orientați și sprijiniți în elaborarea și depunerea de proiecte viabile.</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Pentru operationalizarea mecanismului "ghiseu unic" pentru IMM-uri, MFE va utiliza aceasta Rețea, prin intermediul căreia se vor oferi IMM-urilor informații comprehensive și accesibile privind posibilitațile de finanțare din FESI și alte fonduri, precum și consiliere în acest sens. Autoritațile competente vor putea primi feedback din partea beneficiarilor vis-a-vis de cadrul administrativ și procedural de accesare a finanțărilor, contribuind la îmbunatățirea performanței acestora.</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În vederea operaționalizării acestui mecanism se va realiza o analiză teritorială a furnizorilor de servicii pentru IMM-uri și se va stabili aria de activitate a punctelor de informare. Se va urmari o distribuție echilibrată în teritoriu a serviciilor de informare și consiliere, precum și furnizarea acestor servicii în mod concentrat, eficient și eficace.</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Pentru asigurarea sinergiei și complementarității acțiunilor de informare destinate IMM-urilor, în cursul operaționalizarii Rețelei de informare, MFE va stabili împreuna cu Departamentul pentru IMM-uri, MDRAP și MADR, dar și în consultare cu alte entitați care oferă informații/servicii IMM-urilor în profil teritorial (ex. Camere de Comerț și Industrie), cadrul general al schimbului de informații și bune practici (ritmicitatea transmiterii și nivelul informațiilor, întrebari frecvente, etc.), astfel încât consilierea furnizată de Rețeaua de informare să fie utilă pentru orice întreprinzator, indiferent de sursa de finanțare a inițiativei sale antreprenoriale și de autoritațile care o gestionează (Oficiile Teritoriale pentru IMM-uri, ADR-uri, AM pentru fonduri structurale, Oficiile Județene și Centrele Regionale pentru Finanțarea Investițiilor Rurale pentru PNDR, etc.).</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sidRPr="00956C4B">
        <w:rPr>
          <w:rFonts w:eastAsia="Times New Roman"/>
          <w:bCs/>
          <w:iCs/>
          <w:kern w:val="28"/>
          <w:szCs w:val="24"/>
          <w:lang w:eastAsia="en-GB"/>
        </w:rPr>
        <w:t>Informațiile și asistența pentru beneficiari dupa semnarea contractelor de finanțare, pentru PO finanțate din FSC va fi acordata de AM/OI, cu ajutorul rețelei de informare.</w:t>
      </w: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p>
    <w:p w:rsidR="00956C4B" w:rsidRPr="00956C4B" w:rsidRDefault="00956C4B" w:rsidP="00956C4B">
      <w:pPr>
        <w:widowControl w:val="0"/>
        <w:autoSpaceDE w:val="0"/>
        <w:autoSpaceDN w:val="0"/>
        <w:adjustRightInd w:val="0"/>
        <w:spacing w:before="0" w:after="0"/>
        <w:ind w:right="-25"/>
        <w:rPr>
          <w:rFonts w:eastAsia="Times New Roman"/>
          <w:bCs/>
          <w:iCs/>
          <w:kern w:val="28"/>
          <w:szCs w:val="24"/>
          <w:lang w:eastAsia="en-GB"/>
        </w:rPr>
      </w:pPr>
      <w:r>
        <w:rPr>
          <w:rFonts w:eastAsia="Times New Roman"/>
          <w:bCs/>
          <w:iCs/>
          <w:kern w:val="28"/>
          <w:szCs w:val="24"/>
          <w:lang w:eastAsia="en-GB"/>
        </w:rPr>
        <w:lastRenderedPageBreak/>
        <w:t>Pe termen mediu ş</w:t>
      </w:r>
      <w:r w:rsidRPr="00956C4B">
        <w:rPr>
          <w:rFonts w:eastAsia="Times New Roman"/>
          <w:bCs/>
          <w:iCs/>
          <w:kern w:val="28"/>
          <w:szCs w:val="24"/>
          <w:lang w:eastAsia="en-GB"/>
        </w:rPr>
        <w:t xml:space="preserve">i lung, este analizată posibilitatea ca aceste </w:t>
      </w:r>
      <w:r>
        <w:rPr>
          <w:rFonts w:eastAsia="Times New Roman"/>
          <w:bCs/>
          <w:iCs/>
          <w:kern w:val="28"/>
          <w:szCs w:val="24"/>
          <w:lang w:eastAsia="en-GB"/>
        </w:rPr>
        <w:t>„ghișee unice” să</w:t>
      </w:r>
      <w:r w:rsidRPr="00956C4B">
        <w:rPr>
          <w:rFonts w:eastAsia="Times New Roman"/>
          <w:bCs/>
          <w:iCs/>
          <w:kern w:val="28"/>
          <w:szCs w:val="24"/>
          <w:lang w:eastAsia="en-GB"/>
        </w:rPr>
        <w:t xml:space="preserve"> funcțíoneze la nivelul Agențiilor de Dezvoltare Regională, având în vedere experiența acestora în lucrul cu mediul de afaceri și preocuparea de a veni în întâmpinarea nevoilor acestuia. Acesta nu se poate realiza însă fără asigurarea unei abordări unitare între tipurile de servicii și informații furnizate la nivelul fiecarei regiuni, respectiv preluarea procedurilor si bunelor practici dovedite viabile in activitatea „ghișeului unic” de la nivelul Centrului de Informare privind FESI și a rețelei sale teritoriale. Identificarea surselor de finanțare (POAT, POCA, alte surse) reprezint</w:t>
      </w:r>
      <w:r>
        <w:rPr>
          <w:rFonts w:eastAsia="Times New Roman"/>
          <w:bCs/>
          <w:iCs/>
          <w:kern w:val="28"/>
          <w:szCs w:val="24"/>
          <w:lang w:eastAsia="en-GB"/>
        </w:rPr>
        <w:t>ă,</w:t>
      </w:r>
      <w:r w:rsidRPr="00956C4B">
        <w:rPr>
          <w:rFonts w:eastAsia="Times New Roman"/>
          <w:bCs/>
          <w:iCs/>
          <w:kern w:val="28"/>
          <w:szCs w:val="24"/>
          <w:lang w:eastAsia="en-GB"/>
        </w:rPr>
        <w:t xml:space="preserve"> de asemenea</w:t>
      </w:r>
      <w:r>
        <w:rPr>
          <w:rFonts w:eastAsia="Times New Roman"/>
          <w:bCs/>
          <w:iCs/>
          <w:kern w:val="28"/>
          <w:szCs w:val="24"/>
          <w:lang w:eastAsia="en-GB"/>
        </w:rPr>
        <w:t>,</w:t>
      </w:r>
      <w:r w:rsidRPr="00956C4B">
        <w:rPr>
          <w:rFonts w:eastAsia="Times New Roman"/>
          <w:bCs/>
          <w:iCs/>
          <w:kern w:val="28"/>
          <w:szCs w:val="24"/>
          <w:lang w:eastAsia="en-GB"/>
        </w:rPr>
        <w:t xml:space="preserve"> o condiție sine-qua-non.  </w:t>
      </w:r>
    </w:p>
    <w:p w:rsidR="00A76D77" w:rsidRDefault="00A76D77"/>
    <w:sectPr w:rsidR="00A76D77" w:rsidSect="00956C4B">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C4B"/>
    <w:rsid w:val="002A0084"/>
    <w:rsid w:val="00956C4B"/>
    <w:rsid w:val="00A76D77"/>
    <w:rsid w:val="00BB479B"/>
    <w:rsid w:val="00D432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AE2BE4-68DB-4926-AD6F-549B699F5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C4B"/>
    <w:pPr>
      <w:spacing w:before="120" w:after="120" w:line="240" w:lineRule="auto"/>
      <w:jc w:val="both"/>
    </w:pPr>
    <w:rPr>
      <w:rFonts w:ascii="Times New Roman" w:eastAsia="Calibri" w:hAnsi="Times New Roman" w:cs="Times New Roman"/>
      <w:sz w:val="24"/>
      <w:szCs w:val="20"/>
      <w:lang w:val="ro-RO" w:eastAsia="ro-RO"/>
    </w:rPr>
  </w:style>
  <w:style w:type="paragraph" w:styleId="Heading1">
    <w:name w:val="heading 1"/>
    <w:aliases w:val="Heading 1.1"/>
    <w:basedOn w:val="Normal"/>
    <w:next w:val="Normal"/>
    <w:link w:val="Heading1Char"/>
    <w:autoRedefine/>
    <w:qFormat/>
    <w:rsid w:val="00D43251"/>
    <w:pPr>
      <w:keepNext/>
      <w:pBdr>
        <w:top w:val="single" w:sz="4" w:space="1" w:color="auto"/>
        <w:left w:val="single" w:sz="4" w:space="4" w:color="auto"/>
        <w:bottom w:val="single" w:sz="4" w:space="1" w:color="auto"/>
        <w:right w:val="single" w:sz="4" w:space="4" w:color="auto"/>
      </w:pBdr>
      <w:shd w:val="clear" w:color="auto" w:fill="9CC2E5" w:themeFill="accent1" w:themeFillTint="99"/>
      <w:spacing w:after="360"/>
      <w:jc w:val="left"/>
      <w:outlineLvl w:val="0"/>
    </w:pPr>
    <w:rPr>
      <w:rFonts w:ascii="Times New Roman Bold" w:eastAsia="Times New Roman" w:hAnsi="Times New Roman Bold"/>
      <w:b/>
      <w:bCs/>
      <w:smallCaps/>
      <w:sz w:val="28"/>
      <w:szCs w:val="28"/>
      <w:lang w:val="it-IT" w:eastAsia="en-US"/>
    </w:rPr>
  </w:style>
  <w:style w:type="paragraph" w:styleId="Heading2">
    <w:name w:val="heading 2"/>
    <w:basedOn w:val="Normal"/>
    <w:next w:val="Normal"/>
    <w:link w:val="Heading2Char"/>
    <w:uiPriority w:val="9"/>
    <w:unhideWhenUsed/>
    <w:qFormat/>
    <w:rsid w:val="00D43251"/>
    <w:pPr>
      <w:keepNext/>
      <w:keepLines/>
      <w:ind w:left="142"/>
      <w:jc w:val="left"/>
      <w:outlineLvl w:val="1"/>
    </w:pPr>
    <w:rPr>
      <w:rFonts w:ascii="Times New Roman Bold" w:eastAsiaTheme="majorEastAsia" w:hAnsi="Times New Roman Bold" w:cstheme="majorBidi"/>
      <w:b/>
      <w:szCs w:val="26"/>
      <w:lang w:val="en-US" w:eastAsia="en-US"/>
    </w:rPr>
  </w:style>
  <w:style w:type="paragraph" w:styleId="Heading3">
    <w:name w:val="heading 3"/>
    <w:basedOn w:val="Normal"/>
    <w:next w:val="Normal"/>
    <w:link w:val="Heading3Char"/>
    <w:qFormat/>
    <w:rsid w:val="00D43251"/>
    <w:pPr>
      <w:keepNext/>
      <w:autoSpaceDE w:val="0"/>
      <w:autoSpaceDN w:val="0"/>
      <w:adjustRightInd w:val="0"/>
      <w:spacing w:before="0" w:after="0"/>
      <w:ind w:left="284"/>
      <w:jc w:val="left"/>
      <w:outlineLvl w:val="2"/>
    </w:pPr>
    <w:rPr>
      <w:rFonts w:eastAsia="Times New Roman"/>
      <w:bCs/>
      <w:i/>
      <w:color w:val="000000"/>
      <w:szCs w:val="32"/>
      <w:lang w:val="en-US" w:eastAsia="en-US"/>
    </w:rPr>
  </w:style>
  <w:style w:type="paragraph" w:styleId="Heading6">
    <w:name w:val="heading 6"/>
    <w:basedOn w:val="Normal"/>
    <w:next w:val="Normal"/>
    <w:link w:val="Heading6Char"/>
    <w:uiPriority w:val="9"/>
    <w:semiHidden/>
    <w:unhideWhenUsed/>
    <w:qFormat/>
    <w:rsid w:val="00D43251"/>
    <w:pPr>
      <w:keepNext/>
      <w:keepLines/>
      <w:spacing w:before="40" w:after="0"/>
      <w:jc w:val="left"/>
      <w:outlineLvl w:val="5"/>
    </w:pPr>
    <w:rPr>
      <w:rFonts w:asciiTheme="majorHAnsi" w:eastAsiaTheme="majorEastAsia" w:hAnsiTheme="majorHAnsi" w:cstheme="majorBidi"/>
      <w:color w:val="1F4D78" w:themeColor="accent1" w:themeShade="7F"/>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D43251"/>
    <w:rPr>
      <w:rFonts w:ascii="Times New Roman Bold" w:eastAsia="Times New Roman" w:hAnsi="Times New Roman Bold" w:cs="Times New Roman"/>
      <w:b/>
      <w:bCs/>
      <w:smallCaps/>
      <w:sz w:val="28"/>
      <w:szCs w:val="28"/>
      <w:shd w:val="clear" w:color="auto" w:fill="9CC2E5" w:themeFill="accent1" w:themeFillTint="99"/>
      <w:lang w:val="it-IT"/>
    </w:rPr>
  </w:style>
  <w:style w:type="character" w:customStyle="1" w:styleId="Heading2Char">
    <w:name w:val="Heading 2 Char"/>
    <w:basedOn w:val="DefaultParagraphFont"/>
    <w:link w:val="Heading2"/>
    <w:uiPriority w:val="9"/>
    <w:rsid w:val="00D43251"/>
    <w:rPr>
      <w:rFonts w:ascii="Times New Roman Bold" w:eastAsiaTheme="majorEastAsia" w:hAnsi="Times New Roman Bold" w:cstheme="majorBidi"/>
      <w:b/>
      <w:sz w:val="24"/>
      <w:szCs w:val="26"/>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basedOn w:val="Normal"/>
    <w:uiPriority w:val="34"/>
    <w:qFormat/>
    <w:rsid w:val="00D43251"/>
    <w:pPr>
      <w:spacing w:before="0" w:after="0"/>
      <w:ind w:left="720"/>
      <w:contextualSpacing/>
      <w:jc w:val="left"/>
    </w:pPr>
    <w:rPr>
      <w:rFonts w:eastAsia="Times New Roman"/>
      <w:szCs w:val="24"/>
      <w:lang w:val="en-US" w:eastAsia="en-US"/>
    </w:rPr>
  </w:style>
  <w:style w:type="paragraph" w:styleId="TOCHeading">
    <w:name w:val="TOC Heading"/>
    <w:basedOn w:val="Heading1"/>
    <w:next w:val="Normal"/>
    <w:uiPriority w:val="39"/>
    <w:unhideWhenUsed/>
    <w:qFormat/>
    <w:rsid w:val="00D43251"/>
    <w:pPr>
      <w:keepLines/>
      <w:pBdr>
        <w:top w:val="none" w:sz="0" w:space="0" w:color="auto"/>
        <w:left w:val="none" w:sz="0" w:space="0" w:color="auto"/>
        <w:bottom w:val="none" w:sz="0" w:space="0" w:color="auto"/>
        <w:right w:val="none" w:sz="0" w:space="0" w:color="auto"/>
      </w:pBdr>
      <w:shd w:val="clear" w:color="auto" w:fill="auto"/>
      <w:spacing w:before="240" w:after="12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TOC1">
    <w:name w:val="toc 1"/>
    <w:basedOn w:val="Normal"/>
    <w:next w:val="Normal"/>
    <w:autoRedefine/>
    <w:uiPriority w:val="39"/>
    <w:unhideWhenUsed/>
    <w:qFormat/>
    <w:rsid w:val="002A0084"/>
    <w:pPr>
      <w:spacing w:before="0" w:line="276" w:lineRule="auto"/>
      <w:jc w:val="left"/>
    </w:pPr>
    <w:rPr>
      <w:rFonts w:eastAsia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Monica Elena Cristea</cp:lastModifiedBy>
  <cp:revision>2</cp:revision>
  <dcterms:created xsi:type="dcterms:W3CDTF">2016-10-24T12:05:00Z</dcterms:created>
  <dcterms:modified xsi:type="dcterms:W3CDTF">2016-10-24T12:05:00Z</dcterms:modified>
</cp:coreProperties>
</file>